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22E" w:rsidRPr="00BC3788" w:rsidRDefault="0073022E" w:rsidP="001520B7">
      <w:pPr>
        <w:spacing w:before="120" w:after="240" w:line="276" w:lineRule="auto"/>
        <w:jc w:val="center"/>
        <w:rPr>
          <w:rFonts w:ascii="Garamond" w:hAnsi="Garamond" w:cs="Cordia New"/>
          <w:b/>
        </w:rPr>
      </w:pPr>
      <w:bookmarkStart w:id="0" w:name="_GoBack"/>
      <w:bookmarkEnd w:id="0"/>
      <w:r w:rsidRPr="00BC3788">
        <w:rPr>
          <w:rFonts w:ascii="Garamond" w:hAnsi="Garamond" w:cs="Cordia New"/>
          <w:b/>
        </w:rPr>
        <w:t>The 4th Annual Conference of the Centre for the Study of Global Ethics</w:t>
      </w:r>
    </w:p>
    <w:p w:rsidR="0073022E" w:rsidRPr="00BC3788" w:rsidRDefault="0073022E" w:rsidP="001520B7">
      <w:pPr>
        <w:spacing w:before="120" w:after="240" w:line="276" w:lineRule="auto"/>
        <w:jc w:val="center"/>
        <w:rPr>
          <w:rFonts w:ascii="Garamond" w:hAnsi="Garamond" w:cs="Cordia New"/>
          <w:b/>
        </w:rPr>
      </w:pPr>
      <w:r w:rsidRPr="00BC3788">
        <w:rPr>
          <w:rFonts w:ascii="Garamond" w:hAnsi="Garamond" w:cs="Cordia New"/>
          <w:b/>
        </w:rPr>
        <w:t>The University of Birmingham</w:t>
      </w:r>
    </w:p>
    <w:p w:rsidR="0073022E" w:rsidRPr="00BC3788" w:rsidRDefault="0073022E" w:rsidP="001520B7">
      <w:pPr>
        <w:spacing w:before="120" w:after="240" w:line="276" w:lineRule="auto"/>
        <w:jc w:val="center"/>
        <w:rPr>
          <w:rFonts w:ascii="Garamond" w:hAnsi="Garamond" w:cs="Cordia New"/>
          <w:b/>
        </w:rPr>
      </w:pPr>
      <w:r w:rsidRPr="00BC3788">
        <w:rPr>
          <w:rFonts w:ascii="Garamond" w:hAnsi="Garamond" w:cs="Cordia New"/>
          <w:b/>
        </w:rPr>
        <w:t>31 May and 1 June 2018</w:t>
      </w:r>
    </w:p>
    <w:p w:rsidR="0073022E" w:rsidRPr="00BC3788" w:rsidRDefault="0073022E" w:rsidP="001520B7">
      <w:pPr>
        <w:spacing w:before="120" w:after="240" w:line="276" w:lineRule="auto"/>
        <w:jc w:val="both"/>
        <w:rPr>
          <w:rFonts w:ascii="Garamond" w:hAnsi="Garamond" w:cs="Cordia New"/>
          <w:b/>
        </w:rPr>
      </w:pPr>
      <w:r w:rsidRPr="00BC3788">
        <w:rPr>
          <w:rFonts w:ascii="Garamond" w:hAnsi="Garamond" w:cs="Cordia New"/>
          <w:b/>
        </w:rPr>
        <w:t xml:space="preserve">Abstract submission:  </w:t>
      </w:r>
    </w:p>
    <w:p w:rsidR="00385456" w:rsidRPr="00BC3788" w:rsidRDefault="00385456" w:rsidP="001520B7">
      <w:pPr>
        <w:spacing w:before="120" w:after="240" w:line="276" w:lineRule="auto"/>
        <w:jc w:val="both"/>
        <w:rPr>
          <w:rFonts w:ascii="Garamond" w:hAnsi="Garamond" w:cs="Cordia New"/>
          <w:b/>
        </w:rPr>
      </w:pPr>
      <w:r w:rsidRPr="00BC3788">
        <w:rPr>
          <w:rFonts w:ascii="Garamond" w:hAnsi="Garamond" w:cs="Cordia New"/>
          <w:b/>
        </w:rPr>
        <w:t>On rights and wrongs: the right t</w:t>
      </w:r>
      <w:r w:rsidR="001520B7" w:rsidRPr="00BC3788">
        <w:rPr>
          <w:rFonts w:ascii="Garamond" w:hAnsi="Garamond" w:cs="Cordia New"/>
          <w:b/>
        </w:rPr>
        <w:t>o exclude in international law</w:t>
      </w:r>
    </w:p>
    <w:p w:rsidR="002C1FE2" w:rsidRPr="00BC3788" w:rsidRDefault="0073022E" w:rsidP="001520B7">
      <w:pPr>
        <w:spacing w:before="120" w:after="240" w:line="276" w:lineRule="auto"/>
        <w:jc w:val="both"/>
        <w:rPr>
          <w:rFonts w:ascii="Garamond" w:hAnsi="Garamond" w:cs="Cordia New"/>
        </w:rPr>
      </w:pPr>
      <w:r w:rsidRPr="00BC3788">
        <w:rPr>
          <w:rFonts w:ascii="Garamond" w:hAnsi="Garamond" w:cs="Cordia New"/>
        </w:rPr>
        <w:t xml:space="preserve">In the last two decades, we saw a rapid emergence of </w:t>
      </w:r>
      <w:r w:rsidR="002C1FE2" w:rsidRPr="00BC3788">
        <w:rPr>
          <w:rFonts w:ascii="Garamond" w:hAnsi="Garamond" w:cs="Cordia New"/>
        </w:rPr>
        <w:t>the inclusion of intellectual property rights</w:t>
      </w:r>
      <w:r w:rsidR="00385456" w:rsidRPr="00BC3788">
        <w:rPr>
          <w:rFonts w:ascii="Garamond" w:hAnsi="Garamond" w:cs="Cordia New"/>
        </w:rPr>
        <w:t xml:space="preserve"> (IPRs)</w:t>
      </w:r>
      <w:r w:rsidR="002C1FE2" w:rsidRPr="00BC3788">
        <w:rPr>
          <w:rFonts w:ascii="Garamond" w:hAnsi="Garamond" w:cs="Cordia New"/>
        </w:rPr>
        <w:t xml:space="preserve"> sta</w:t>
      </w:r>
      <w:r w:rsidR="00385456" w:rsidRPr="00BC3788">
        <w:rPr>
          <w:rFonts w:ascii="Garamond" w:hAnsi="Garamond" w:cs="Cordia New"/>
        </w:rPr>
        <w:t xml:space="preserve">ndards in free trade agreements, </w:t>
      </w:r>
      <w:r w:rsidR="00497BCB" w:rsidRPr="00BC3788">
        <w:rPr>
          <w:rFonts w:ascii="Garamond" w:hAnsi="Garamond" w:cs="Cordia New"/>
        </w:rPr>
        <w:t>c</w:t>
      </w:r>
      <w:r w:rsidRPr="00BC3788">
        <w:rPr>
          <w:rFonts w:ascii="Garamond" w:hAnsi="Garamond" w:cs="Cordia New"/>
        </w:rPr>
        <w:t>ombined with</w:t>
      </w:r>
      <w:r w:rsidR="00497BCB" w:rsidRPr="00BC3788">
        <w:rPr>
          <w:rFonts w:ascii="Garamond" w:hAnsi="Garamond" w:cs="Cordia New"/>
        </w:rPr>
        <w:t xml:space="preserve"> an increased reliance on international investment agreements to protect </w:t>
      </w:r>
      <w:r w:rsidR="00385456" w:rsidRPr="00BC3788">
        <w:rPr>
          <w:rFonts w:ascii="Garamond" w:hAnsi="Garamond" w:cs="Cordia New"/>
        </w:rPr>
        <w:t>IPRs</w:t>
      </w:r>
      <w:r w:rsidR="002C1FE2" w:rsidRPr="00BC3788">
        <w:rPr>
          <w:rFonts w:ascii="Garamond" w:hAnsi="Garamond" w:cs="Cordia New"/>
        </w:rPr>
        <w:t xml:space="preserve"> </w:t>
      </w:r>
      <w:r w:rsidR="00405905" w:rsidRPr="00BC3788">
        <w:rPr>
          <w:rFonts w:ascii="Garamond" w:hAnsi="Garamond" w:cs="Cordia New"/>
        </w:rPr>
        <w:t>as well as a</w:t>
      </w:r>
      <w:r w:rsidRPr="00BC3788">
        <w:rPr>
          <w:rFonts w:ascii="Garamond" w:hAnsi="Garamond" w:cs="Cordia New"/>
        </w:rPr>
        <w:t xml:space="preserve"> </w:t>
      </w:r>
      <w:r w:rsidR="00497BCB" w:rsidRPr="00BC3788">
        <w:rPr>
          <w:rFonts w:ascii="Garamond" w:hAnsi="Garamond" w:cs="Cordia New"/>
        </w:rPr>
        <w:t>clear</w:t>
      </w:r>
      <w:r w:rsidRPr="00BC3788">
        <w:rPr>
          <w:rFonts w:ascii="Garamond" w:hAnsi="Garamond" w:cs="Cordia New"/>
        </w:rPr>
        <w:t xml:space="preserve"> demand to provide for str</w:t>
      </w:r>
      <w:r w:rsidR="00497BCB" w:rsidRPr="00BC3788">
        <w:rPr>
          <w:rFonts w:ascii="Garamond" w:hAnsi="Garamond" w:cs="Cordia New"/>
        </w:rPr>
        <w:t xml:space="preserve">onger trade secret protection, domestically </w:t>
      </w:r>
      <w:r w:rsidRPr="00BC3788">
        <w:rPr>
          <w:rFonts w:ascii="Garamond" w:hAnsi="Garamond" w:cs="Cordia New"/>
        </w:rPr>
        <w:t>as well as through international mechanisms</w:t>
      </w:r>
      <w:r w:rsidR="00497BCB" w:rsidRPr="00BC3788">
        <w:rPr>
          <w:rFonts w:ascii="Garamond" w:hAnsi="Garamond" w:cs="Cordia New"/>
        </w:rPr>
        <w:t xml:space="preserve"> (</w:t>
      </w:r>
      <w:r w:rsidR="00405905" w:rsidRPr="00BC3788">
        <w:rPr>
          <w:rFonts w:ascii="Garamond" w:hAnsi="Garamond" w:cs="Cordia New"/>
        </w:rPr>
        <w:t xml:space="preserve">Yu 2016, USTR 2017). </w:t>
      </w:r>
      <w:r w:rsidR="001806DC" w:rsidRPr="00BC3788">
        <w:rPr>
          <w:rFonts w:ascii="Garamond" w:hAnsi="Garamond" w:cs="Cordia New"/>
        </w:rPr>
        <w:t>The</w:t>
      </w:r>
      <w:r w:rsidR="00630CED" w:rsidRPr="00BC3788">
        <w:rPr>
          <w:rFonts w:ascii="Garamond" w:hAnsi="Garamond" w:cs="Cordia New"/>
        </w:rPr>
        <w:t>se</w:t>
      </w:r>
      <w:r w:rsidR="001806DC" w:rsidRPr="00BC3788">
        <w:rPr>
          <w:rFonts w:ascii="Garamond" w:hAnsi="Garamond" w:cs="Cordia New"/>
        </w:rPr>
        <w:t xml:space="preserve"> evolutions</w:t>
      </w:r>
      <w:r w:rsidR="002C1FE2" w:rsidRPr="00BC3788">
        <w:rPr>
          <w:rFonts w:ascii="Garamond" w:hAnsi="Garamond" w:cs="Cordia New"/>
        </w:rPr>
        <w:t xml:space="preserve"> demonstrate a remarkable development in international economic law: the dissemination of rights to exclude, and rights to enforce these exclusions. </w:t>
      </w:r>
    </w:p>
    <w:p w:rsidR="001520B7" w:rsidRPr="00BC3788" w:rsidRDefault="002C1FE2" w:rsidP="001520B7">
      <w:pPr>
        <w:spacing w:before="120" w:after="240" w:line="276" w:lineRule="auto"/>
        <w:jc w:val="both"/>
        <w:rPr>
          <w:rFonts w:ascii="Garamond" w:hAnsi="Garamond" w:cs="Cordia New"/>
        </w:rPr>
      </w:pPr>
      <w:r w:rsidRPr="00BC3788">
        <w:rPr>
          <w:rFonts w:ascii="Garamond" w:hAnsi="Garamond" w:cs="Cordia New"/>
        </w:rPr>
        <w:t>These developmen</w:t>
      </w:r>
      <w:r w:rsidR="00F003F5" w:rsidRPr="00BC3788">
        <w:rPr>
          <w:rFonts w:ascii="Garamond" w:hAnsi="Garamond" w:cs="Cordia New"/>
        </w:rPr>
        <w:t xml:space="preserve">ts raise significant questions. </w:t>
      </w:r>
      <w:r w:rsidRPr="00BC3788">
        <w:rPr>
          <w:rFonts w:ascii="Garamond" w:hAnsi="Garamond" w:cs="Cordia New"/>
        </w:rPr>
        <w:t>The traditional general right to property (included in</w:t>
      </w:r>
      <w:r w:rsidR="00F003F5" w:rsidRPr="00BC3788">
        <w:rPr>
          <w:rFonts w:ascii="Garamond" w:hAnsi="Garamond" w:cs="Cordia New"/>
        </w:rPr>
        <w:t xml:space="preserve"> most</w:t>
      </w:r>
      <w:r w:rsidRPr="00BC3788">
        <w:rPr>
          <w:rFonts w:ascii="Garamond" w:hAnsi="Garamond" w:cs="Cordia New"/>
        </w:rPr>
        <w:t xml:space="preserve"> human rights treaties) defines that ‘no one shall be arbitrarily deprived of its property’ – leaving the precise meaning and application of this criterion to the domestic legal order</w:t>
      </w:r>
      <w:r w:rsidR="00385456" w:rsidRPr="00BC3788">
        <w:rPr>
          <w:rFonts w:ascii="Garamond" w:hAnsi="Garamond" w:cs="Cordia New"/>
        </w:rPr>
        <w:t xml:space="preserve"> (Sprankling 2014</w:t>
      </w:r>
      <w:r w:rsidR="0054764A" w:rsidRPr="00BC3788">
        <w:rPr>
          <w:rFonts w:ascii="Garamond" w:hAnsi="Garamond" w:cs="Cordia New"/>
        </w:rPr>
        <w:t>, Dolidze 2016</w:t>
      </w:r>
      <w:r w:rsidR="00385456" w:rsidRPr="00BC3788">
        <w:rPr>
          <w:rFonts w:ascii="Garamond" w:hAnsi="Garamond" w:cs="Cordia New"/>
        </w:rPr>
        <w:t>)</w:t>
      </w:r>
      <w:r w:rsidRPr="00BC3788">
        <w:rPr>
          <w:rFonts w:ascii="Garamond" w:hAnsi="Garamond" w:cs="Cordia New"/>
        </w:rPr>
        <w:t>. In international treaties legislatin</w:t>
      </w:r>
      <w:r w:rsidR="00F003F5" w:rsidRPr="00BC3788">
        <w:rPr>
          <w:rFonts w:ascii="Garamond" w:hAnsi="Garamond" w:cs="Cordia New"/>
        </w:rPr>
        <w:t xml:space="preserve">g </w:t>
      </w:r>
      <w:r w:rsidR="0054764A" w:rsidRPr="00BC3788">
        <w:rPr>
          <w:rFonts w:ascii="Garamond" w:hAnsi="Garamond" w:cs="Cordia New"/>
        </w:rPr>
        <w:t>IPRs</w:t>
      </w:r>
      <w:r w:rsidR="00F003F5" w:rsidRPr="00BC3788">
        <w:rPr>
          <w:rFonts w:ascii="Garamond" w:hAnsi="Garamond" w:cs="Cordia New"/>
        </w:rPr>
        <w:t xml:space="preserve"> </w:t>
      </w:r>
      <w:r w:rsidRPr="00BC3788">
        <w:rPr>
          <w:rFonts w:ascii="Garamond" w:hAnsi="Garamond" w:cs="Cordia New"/>
        </w:rPr>
        <w:t xml:space="preserve">and the protection of investment, </w:t>
      </w:r>
      <w:r w:rsidR="001520B7" w:rsidRPr="00BC3788">
        <w:rPr>
          <w:rFonts w:ascii="Garamond" w:hAnsi="Garamond" w:cs="Cordia New"/>
        </w:rPr>
        <w:t>however</w:t>
      </w:r>
      <w:r w:rsidRPr="00BC3788">
        <w:rPr>
          <w:rFonts w:ascii="Garamond" w:hAnsi="Garamond" w:cs="Cordia New"/>
        </w:rPr>
        <w:t xml:space="preserve">, substantive criteria have been introduced, restricting the scope of limitations on </w:t>
      </w:r>
      <w:r w:rsidR="0054764A" w:rsidRPr="00BC3788">
        <w:rPr>
          <w:rFonts w:ascii="Garamond" w:hAnsi="Garamond" w:cs="Cordia New"/>
        </w:rPr>
        <w:t>these</w:t>
      </w:r>
      <w:r w:rsidRPr="00BC3788">
        <w:rPr>
          <w:rFonts w:ascii="Garamond" w:hAnsi="Garamond" w:cs="Cordia New"/>
        </w:rPr>
        <w:t xml:space="preserve"> rights. </w:t>
      </w:r>
      <w:r w:rsidR="00385456" w:rsidRPr="00BC3788">
        <w:rPr>
          <w:rFonts w:ascii="Garamond" w:hAnsi="Garamond" w:cs="Cordia New"/>
        </w:rPr>
        <w:t>What is more, by including rights</w:t>
      </w:r>
      <w:r w:rsidR="0054764A" w:rsidRPr="00BC3788">
        <w:rPr>
          <w:rFonts w:ascii="Garamond" w:hAnsi="Garamond" w:cs="Cordia New"/>
        </w:rPr>
        <w:t xml:space="preserve"> to exclude</w:t>
      </w:r>
      <w:r w:rsidR="00385456" w:rsidRPr="00BC3788">
        <w:rPr>
          <w:rFonts w:ascii="Garamond" w:hAnsi="Garamond" w:cs="Cordia New"/>
        </w:rPr>
        <w:t xml:space="preserve"> in international treaties, the authority to decide on the scope and application of these rights is transferred to the international legal order and its judiciary.</w:t>
      </w:r>
    </w:p>
    <w:p w:rsidR="00132819" w:rsidRPr="00BC3788" w:rsidRDefault="00385456" w:rsidP="00A400CB">
      <w:pPr>
        <w:spacing w:before="120" w:after="240" w:line="276" w:lineRule="auto"/>
        <w:jc w:val="both"/>
        <w:rPr>
          <w:rFonts w:ascii="Garamond" w:hAnsi="Garamond" w:cs="Cordia New"/>
          <w:lang w:val="en-US"/>
        </w:rPr>
      </w:pPr>
      <w:r w:rsidRPr="00BC3788">
        <w:rPr>
          <w:rFonts w:ascii="Garamond" w:hAnsi="Garamond" w:cs="Cordia New"/>
        </w:rPr>
        <w:t xml:space="preserve">It is the aim of this paper to examine </w:t>
      </w:r>
      <w:r w:rsidR="002C1FE2" w:rsidRPr="00BC3788">
        <w:rPr>
          <w:rFonts w:ascii="Garamond" w:hAnsi="Garamond" w:cs="Cordia New"/>
        </w:rPr>
        <w:t>to which extent</w:t>
      </w:r>
      <w:r w:rsidR="00132819" w:rsidRPr="00BC3788">
        <w:rPr>
          <w:rFonts w:ascii="Garamond" w:hAnsi="Garamond" w:cs="Cordia New"/>
        </w:rPr>
        <w:t xml:space="preserve"> these ‘rights to exclude’ can be qualified as</w:t>
      </w:r>
      <w:r w:rsidR="0054764A" w:rsidRPr="00BC3788">
        <w:rPr>
          <w:rFonts w:ascii="Garamond" w:hAnsi="Garamond" w:cs="Cordia New"/>
        </w:rPr>
        <w:t xml:space="preserve"> a ‘property right’ and whether</w:t>
      </w:r>
      <w:r w:rsidR="002C1FE2" w:rsidRPr="00BC3788">
        <w:rPr>
          <w:rFonts w:ascii="Garamond" w:hAnsi="Garamond" w:cs="Cordia New"/>
        </w:rPr>
        <w:t xml:space="preserve"> transferring the scope and application of these rights to the international level poses a problem with regard to the justification of these rights. </w:t>
      </w:r>
      <w:r w:rsidR="0054764A" w:rsidRPr="00BC3788">
        <w:rPr>
          <w:rFonts w:ascii="Garamond" w:hAnsi="Garamond" w:cs="Cordia New"/>
        </w:rPr>
        <w:t xml:space="preserve">More specifically, </w:t>
      </w:r>
      <w:r w:rsidR="00A400CB" w:rsidRPr="00BC3788">
        <w:rPr>
          <w:rFonts w:ascii="Garamond" w:hAnsi="Garamond" w:cs="Cordia New"/>
          <w:lang w:val="en-US"/>
        </w:rPr>
        <w:t xml:space="preserve">it will be assessed to which extent internal </w:t>
      </w:r>
      <w:r w:rsidR="001520B7" w:rsidRPr="00BC3788">
        <w:rPr>
          <w:rFonts w:ascii="Garamond" w:hAnsi="Garamond" w:cs="Cordia New"/>
          <w:lang w:val="en-US"/>
        </w:rPr>
        <w:t>limitations on property rights</w:t>
      </w:r>
      <w:r w:rsidR="00A400CB" w:rsidRPr="00BC3788">
        <w:rPr>
          <w:rFonts w:ascii="Garamond" w:hAnsi="Garamond" w:cs="Cordia New"/>
          <w:lang w:val="en-US"/>
        </w:rPr>
        <w:t xml:space="preserve"> (preventing the coming into existence of property right</w:t>
      </w:r>
      <w:r w:rsidR="0054764A" w:rsidRPr="00BC3788">
        <w:rPr>
          <w:rFonts w:ascii="Garamond" w:hAnsi="Garamond" w:cs="Cordia New"/>
          <w:lang w:val="en-US"/>
        </w:rPr>
        <w:t>s</w:t>
      </w:r>
      <w:r w:rsidR="00A400CB" w:rsidRPr="00BC3788">
        <w:rPr>
          <w:rFonts w:ascii="Garamond" w:hAnsi="Garamond" w:cs="Cordia New"/>
          <w:lang w:val="en-US"/>
        </w:rPr>
        <w:t xml:space="preserve">, or adapting the specific protections) and </w:t>
      </w:r>
      <w:r w:rsidR="00132819" w:rsidRPr="00BC3788">
        <w:rPr>
          <w:rFonts w:ascii="Garamond" w:hAnsi="Garamond" w:cs="Cordia New"/>
          <w:lang w:val="en-US"/>
        </w:rPr>
        <w:t>external</w:t>
      </w:r>
      <w:r w:rsidR="00A400CB" w:rsidRPr="00BC3788">
        <w:rPr>
          <w:rFonts w:ascii="Garamond" w:hAnsi="Garamond" w:cs="Cordia New"/>
          <w:lang w:val="en-US"/>
        </w:rPr>
        <w:t xml:space="preserve"> limitations (limiting</w:t>
      </w:r>
      <w:r w:rsidR="0054764A" w:rsidRPr="00BC3788">
        <w:rPr>
          <w:rFonts w:ascii="Garamond" w:hAnsi="Garamond" w:cs="Cordia New"/>
          <w:lang w:val="en-US"/>
        </w:rPr>
        <w:t xml:space="preserve"> the enjoyment of </w:t>
      </w:r>
      <w:r w:rsidR="001520B7" w:rsidRPr="00BC3788">
        <w:rPr>
          <w:rFonts w:ascii="Garamond" w:hAnsi="Garamond" w:cs="Cordia New"/>
          <w:lang w:val="en-US"/>
        </w:rPr>
        <w:t>property right</w:t>
      </w:r>
      <w:r w:rsidR="0054764A" w:rsidRPr="00BC3788">
        <w:rPr>
          <w:rFonts w:ascii="Garamond" w:hAnsi="Garamond" w:cs="Cordia New"/>
          <w:lang w:val="en-US"/>
        </w:rPr>
        <w:t>s for compelling interest</w:t>
      </w:r>
      <w:r w:rsidR="00132819" w:rsidRPr="00BC3788">
        <w:rPr>
          <w:rFonts w:ascii="Garamond" w:hAnsi="Garamond" w:cs="Cordia New"/>
          <w:lang w:val="en-US"/>
        </w:rPr>
        <w:t xml:space="preserve">) are pivotal to uphold justifications </w:t>
      </w:r>
      <w:r w:rsidR="0054764A" w:rsidRPr="00BC3788">
        <w:rPr>
          <w:rFonts w:ascii="Garamond" w:hAnsi="Garamond" w:cs="Cordia New"/>
          <w:lang w:val="en-US"/>
        </w:rPr>
        <w:t xml:space="preserve">of these </w:t>
      </w:r>
      <w:r w:rsidR="00132819" w:rsidRPr="00BC3788">
        <w:rPr>
          <w:rFonts w:ascii="Garamond" w:hAnsi="Garamond" w:cs="Cordia New"/>
          <w:lang w:val="en-US"/>
        </w:rPr>
        <w:t xml:space="preserve">rights in a global context. </w:t>
      </w:r>
    </w:p>
    <w:p w:rsidR="00123981" w:rsidRPr="00BC3788" w:rsidRDefault="0073022E" w:rsidP="003A11A3">
      <w:pPr>
        <w:spacing w:line="276" w:lineRule="auto"/>
        <w:jc w:val="both"/>
        <w:rPr>
          <w:rFonts w:ascii="Garamond" w:hAnsi="Garamond" w:cs="Cordia New"/>
          <w:b/>
        </w:rPr>
      </w:pPr>
      <w:r w:rsidRPr="00BC3788">
        <w:rPr>
          <w:rFonts w:ascii="Garamond" w:hAnsi="Garamond" w:cs="Cordia New"/>
          <w:b/>
        </w:rPr>
        <w:t>References:</w:t>
      </w:r>
    </w:p>
    <w:p w:rsidR="00405905" w:rsidRPr="00BC3788" w:rsidRDefault="00405905" w:rsidP="003A11A3">
      <w:pPr>
        <w:pStyle w:val="ListParagraph"/>
        <w:numPr>
          <w:ilvl w:val="0"/>
          <w:numId w:val="1"/>
        </w:numPr>
        <w:spacing w:line="276" w:lineRule="auto"/>
        <w:rPr>
          <w:rFonts w:ascii="Garamond" w:eastAsia="Times New Roman" w:hAnsi="Garamond" w:cs="Cordia New"/>
          <w:lang w:val="en-US"/>
        </w:rPr>
      </w:pPr>
      <w:r w:rsidRPr="00BC3788">
        <w:rPr>
          <w:rFonts w:ascii="Garamond" w:hAnsi="Garamond" w:cs="Cordia New"/>
        </w:rPr>
        <w:t xml:space="preserve">Yu, P.K. 2017. </w:t>
      </w:r>
      <w:r w:rsidRPr="00BC3788">
        <w:rPr>
          <w:rFonts w:ascii="Garamond" w:eastAsia="Times New Roman" w:hAnsi="Garamond" w:cs="Cordia New"/>
          <w:lang w:val="en-US"/>
        </w:rPr>
        <w:t xml:space="preserve">“The Investment-Related Aspects of Intellectual Property Rights.” American University Law Review 66: 829. </w:t>
      </w:r>
    </w:p>
    <w:p w:rsidR="001520B7" w:rsidRPr="00BC3788" w:rsidRDefault="00405905" w:rsidP="003A11A3">
      <w:pPr>
        <w:pStyle w:val="ListParagraph"/>
        <w:numPr>
          <w:ilvl w:val="0"/>
          <w:numId w:val="1"/>
        </w:numPr>
        <w:spacing w:line="276" w:lineRule="auto"/>
        <w:rPr>
          <w:rFonts w:ascii="Garamond" w:hAnsi="Garamond" w:cs="Cordia New"/>
        </w:rPr>
      </w:pPr>
      <w:r w:rsidRPr="00BC3788">
        <w:rPr>
          <w:rFonts w:ascii="Garamond" w:hAnsi="Garamond" w:cs="Cordia New"/>
        </w:rPr>
        <w:t xml:space="preserve">United States Trade Representative. 2017. Special 301 Report. Available from: </w:t>
      </w:r>
      <w:hyperlink r:id="rId5" w:history="1">
        <w:r w:rsidRPr="00BC3788">
          <w:rPr>
            <w:rStyle w:val="Hyperlink"/>
            <w:rFonts w:ascii="Garamond" w:hAnsi="Garamond" w:cs="Cordia New"/>
          </w:rPr>
          <w:t>https://ustr.gov/sites/default/files/301/2017%20Special%20301%20Report%20FINAL.PDF</w:t>
        </w:r>
      </w:hyperlink>
      <w:r w:rsidRPr="00BC3788">
        <w:rPr>
          <w:rFonts w:ascii="Garamond" w:hAnsi="Garamond" w:cs="Cordia New"/>
        </w:rPr>
        <w:t xml:space="preserve"> </w:t>
      </w:r>
    </w:p>
    <w:p w:rsidR="00A400CB" w:rsidRPr="00BC3788" w:rsidRDefault="00630CED" w:rsidP="003A11A3">
      <w:pPr>
        <w:pStyle w:val="ListParagraph"/>
        <w:numPr>
          <w:ilvl w:val="0"/>
          <w:numId w:val="1"/>
        </w:numPr>
        <w:spacing w:line="276" w:lineRule="auto"/>
        <w:rPr>
          <w:rFonts w:ascii="Garamond" w:hAnsi="Garamond" w:cs="Cordia New"/>
        </w:rPr>
      </w:pPr>
      <w:r w:rsidRPr="00BC3788">
        <w:rPr>
          <w:rFonts w:ascii="Garamond" w:hAnsi="Garamond" w:cs="Cordia New"/>
        </w:rPr>
        <w:t>Sprankling</w:t>
      </w:r>
      <w:r w:rsidR="003A11A3" w:rsidRPr="00BC3788">
        <w:rPr>
          <w:rFonts w:ascii="Garamond" w:hAnsi="Garamond" w:cs="Cordia New"/>
        </w:rPr>
        <w:t>, J.G. 2014.</w:t>
      </w:r>
      <w:r w:rsidRPr="00BC3788">
        <w:rPr>
          <w:rFonts w:ascii="Garamond" w:hAnsi="Garamond" w:cs="Cordia New"/>
        </w:rPr>
        <w:t xml:space="preserve"> The International Law </w:t>
      </w:r>
      <w:r w:rsidR="003A11A3" w:rsidRPr="00BC3788">
        <w:rPr>
          <w:rFonts w:ascii="Garamond" w:hAnsi="Garamond" w:cs="Cordia New"/>
        </w:rPr>
        <w:t>of</w:t>
      </w:r>
      <w:r w:rsidRPr="00BC3788">
        <w:rPr>
          <w:rFonts w:ascii="Garamond" w:hAnsi="Garamond" w:cs="Cordia New"/>
        </w:rPr>
        <w:t xml:space="preserve"> Property</w:t>
      </w:r>
      <w:r w:rsidR="003A11A3" w:rsidRPr="00BC3788">
        <w:rPr>
          <w:rFonts w:ascii="Garamond" w:hAnsi="Garamond" w:cs="Cordia New"/>
        </w:rPr>
        <w:t xml:space="preserve">. Oxford, UK: OUP. </w:t>
      </w:r>
    </w:p>
    <w:p w:rsidR="00132819" w:rsidRPr="00BC3788" w:rsidRDefault="00630CED" w:rsidP="003A11A3">
      <w:pPr>
        <w:pStyle w:val="ListParagraph"/>
        <w:numPr>
          <w:ilvl w:val="0"/>
          <w:numId w:val="1"/>
        </w:numPr>
        <w:spacing w:line="276" w:lineRule="auto"/>
        <w:rPr>
          <w:rFonts w:ascii="Garamond" w:hAnsi="Garamond" w:cs="Cordia New"/>
        </w:rPr>
      </w:pPr>
      <w:r w:rsidRPr="00BC3788">
        <w:rPr>
          <w:rFonts w:ascii="Garamond" w:hAnsi="Garamond" w:cs="Cordia New"/>
        </w:rPr>
        <w:t>Mirow</w:t>
      </w:r>
      <w:r w:rsidR="003A11A3" w:rsidRPr="00BC3788">
        <w:rPr>
          <w:rFonts w:ascii="Garamond" w:hAnsi="Garamond" w:cs="Cordia New"/>
        </w:rPr>
        <w:t>, M.C.</w:t>
      </w:r>
      <w:r w:rsidRPr="00BC3788">
        <w:rPr>
          <w:rFonts w:ascii="Garamond" w:hAnsi="Garamond" w:cs="Cordia New"/>
        </w:rPr>
        <w:t xml:space="preserve"> 2016</w:t>
      </w:r>
      <w:r w:rsidR="003A11A3" w:rsidRPr="00BC3788">
        <w:rPr>
          <w:rFonts w:ascii="Garamond" w:hAnsi="Garamond" w:cs="Cordia New"/>
        </w:rPr>
        <w:t>.</w:t>
      </w:r>
      <w:r w:rsidRPr="00BC3788">
        <w:rPr>
          <w:rFonts w:ascii="Garamond" w:hAnsi="Garamond" w:cs="Cordia New"/>
        </w:rPr>
        <w:t xml:space="preserve"> </w:t>
      </w:r>
      <w:r w:rsidR="003A11A3" w:rsidRPr="00BC3788">
        <w:rPr>
          <w:rFonts w:ascii="Garamond" w:hAnsi="Garamond" w:cs="Cordia New"/>
        </w:rPr>
        <w:t>“</w:t>
      </w:r>
      <w:r w:rsidRPr="00BC3788">
        <w:rPr>
          <w:rFonts w:ascii="Garamond" w:hAnsi="Garamond" w:cs="Cordia New"/>
        </w:rPr>
        <w:t>Rerum novarum: new things and recent paradigms of property law</w:t>
      </w:r>
      <w:r w:rsidR="003A11A3" w:rsidRPr="00BC3788">
        <w:rPr>
          <w:rFonts w:ascii="Garamond" w:hAnsi="Garamond" w:cs="Cordia New"/>
        </w:rPr>
        <w:t xml:space="preserve">.” The </w:t>
      </w:r>
      <w:r w:rsidRPr="00BC3788">
        <w:rPr>
          <w:rFonts w:ascii="Garamond" w:hAnsi="Garamond" w:cs="Cordia New"/>
        </w:rPr>
        <w:t>U</w:t>
      </w:r>
      <w:r w:rsidR="003A11A3" w:rsidRPr="00BC3788">
        <w:rPr>
          <w:rFonts w:ascii="Garamond" w:hAnsi="Garamond" w:cs="Cordia New"/>
        </w:rPr>
        <w:t>niversity</w:t>
      </w:r>
      <w:r w:rsidRPr="00BC3788">
        <w:rPr>
          <w:rFonts w:ascii="Garamond" w:hAnsi="Garamond" w:cs="Cordia New"/>
        </w:rPr>
        <w:t xml:space="preserve"> of </w:t>
      </w:r>
      <w:r w:rsidR="003A11A3" w:rsidRPr="00BC3788">
        <w:rPr>
          <w:rFonts w:ascii="Garamond" w:hAnsi="Garamond" w:cs="Cordia New"/>
        </w:rPr>
        <w:t xml:space="preserve">the </w:t>
      </w:r>
      <w:r w:rsidRPr="00BC3788">
        <w:rPr>
          <w:rFonts w:ascii="Garamond" w:hAnsi="Garamond" w:cs="Cordia New"/>
        </w:rPr>
        <w:t>Pac</w:t>
      </w:r>
      <w:r w:rsidR="003A11A3" w:rsidRPr="00BC3788">
        <w:rPr>
          <w:rFonts w:ascii="Garamond" w:hAnsi="Garamond" w:cs="Cordia New"/>
        </w:rPr>
        <w:t>ific</w:t>
      </w:r>
      <w:r w:rsidRPr="00BC3788">
        <w:rPr>
          <w:rFonts w:ascii="Garamond" w:hAnsi="Garamond" w:cs="Cordia New"/>
        </w:rPr>
        <w:t xml:space="preserve"> L</w:t>
      </w:r>
      <w:r w:rsidR="003A11A3" w:rsidRPr="00BC3788">
        <w:rPr>
          <w:rFonts w:ascii="Garamond" w:hAnsi="Garamond" w:cs="Cordia New"/>
        </w:rPr>
        <w:t>aw</w:t>
      </w:r>
      <w:r w:rsidRPr="00BC3788">
        <w:rPr>
          <w:rFonts w:ascii="Garamond" w:hAnsi="Garamond" w:cs="Cordia New"/>
        </w:rPr>
        <w:t xml:space="preserve"> Rev</w:t>
      </w:r>
      <w:r w:rsidR="003A11A3" w:rsidRPr="00BC3788">
        <w:rPr>
          <w:rFonts w:ascii="Garamond" w:hAnsi="Garamond" w:cs="Cordia New"/>
        </w:rPr>
        <w:t xml:space="preserve">iew 47: 183. </w:t>
      </w:r>
    </w:p>
    <w:p w:rsidR="0054764A" w:rsidRPr="00BC3788" w:rsidRDefault="00630CED" w:rsidP="003A11A3">
      <w:pPr>
        <w:pStyle w:val="ListParagraph"/>
        <w:numPr>
          <w:ilvl w:val="0"/>
          <w:numId w:val="1"/>
        </w:numPr>
        <w:spacing w:line="276" w:lineRule="auto"/>
        <w:rPr>
          <w:rFonts w:ascii="Garamond" w:hAnsi="Garamond" w:cs="Cordia New"/>
        </w:rPr>
      </w:pPr>
      <w:r w:rsidRPr="00BC3788">
        <w:rPr>
          <w:rFonts w:ascii="Garamond" w:hAnsi="Garamond" w:cs="Cordia New"/>
        </w:rPr>
        <w:t>Dolidze</w:t>
      </w:r>
      <w:r w:rsidR="003A11A3" w:rsidRPr="00BC3788">
        <w:rPr>
          <w:rFonts w:ascii="Garamond" w:hAnsi="Garamond" w:cs="Cordia New"/>
        </w:rPr>
        <w:t>, A.</w:t>
      </w:r>
      <w:r w:rsidRPr="00BC3788">
        <w:rPr>
          <w:rFonts w:ascii="Garamond" w:hAnsi="Garamond" w:cs="Cordia New"/>
        </w:rPr>
        <w:t xml:space="preserve"> 2016</w:t>
      </w:r>
      <w:r w:rsidR="003A11A3" w:rsidRPr="00BC3788">
        <w:rPr>
          <w:rFonts w:ascii="Garamond" w:hAnsi="Garamond" w:cs="Cordia New"/>
        </w:rPr>
        <w:t>.  “</w:t>
      </w:r>
      <w:r w:rsidRPr="00BC3788">
        <w:rPr>
          <w:rFonts w:ascii="Garamond" w:hAnsi="Garamond" w:cs="Cordia New"/>
        </w:rPr>
        <w:t>Promise and Perils of the International Human Right to Property</w:t>
      </w:r>
      <w:r w:rsidR="003A11A3" w:rsidRPr="00BC3788">
        <w:rPr>
          <w:rFonts w:ascii="Garamond" w:hAnsi="Garamond" w:cs="Cordia New"/>
        </w:rPr>
        <w:t xml:space="preserve">.” The University of the Pacific Law Review 47: 169. </w:t>
      </w:r>
    </w:p>
    <w:p w:rsidR="00806242" w:rsidRPr="00BC3788" w:rsidRDefault="00806242" w:rsidP="00806242">
      <w:pPr>
        <w:spacing w:before="120" w:after="240" w:line="276" w:lineRule="auto"/>
        <w:jc w:val="both"/>
        <w:rPr>
          <w:rFonts w:ascii="Garamond" w:hAnsi="Garamond" w:cs="Cordia New"/>
          <w:b/>
        </w:rPr>
      </w:pPr>
    </w:p>
    <w:p w:rsidR="00BC3788" w:rsidRDefault="00BC3788">
      <w:pPr>
        <w:rPr>
          <w:rFonts w:ascii="Garamond" w:hAnsi="Garamond" w:cs="Cordia New"/>
          <w:b/>
        </w:rPr>
      </w:pPr>
      <w:r>
        <w:rPr>
          <w:rFonts w:ascii="Garamond" w:hAnsi="Garamond" w:cs="Cordia New"/>
          <w:b/>
        </w:rPr>
        <w:br w:type="page"/>
      </w:r>
    </w:p>
    <w:p w:rsidR="00806242" w:rsidRPr="00BC3788" w:rsidRDefault="00806242" w:rsidP="00806242">
      <w:pPr>
        <w:spacing w:before="120" w:after="240" w:line="276" w:lineRule="auto"/>
        <w:jc w:val="both"/>
        <w:rPr>
          <w:rFonts w:ascii="Garamond" w:hAnsi="Garamond" w:cs="Cordia New"/>
          <w:b/>
        </w:rPr>
      </w:pPr>
      <w:r w:rsidRPr="00BC3788">
        <w:rPr>
          <w:rFonts w:ascii="Garamond" w:hAnsi="Garamond" w:cs="Cordia New"/>
          <w:b/>
        </w:rPr>
        <w:lastRenderedPageBreak/>
        <w:t>Details:</w:t>
      </w:r>
    </w:p>
    <w:p w:rsidR="00BC3788" w:rsidRPr="00BC3788" w:rsidRDefault="00806242" w:rsidP="00806242">
      <w:pPr>
        <w:spacing w:before="120" w:after="240" w:line="276" w:lineRule="auto"/>
        <w:jc w:val="both"/>
        <w:rPr>
          <w:rFonts w:ascii="Garamond" w:hAnsi="Garamond" w:cs="Cordia New"/>
          <w:lang w:val="en-US"/>
        </w:rPr>
      </w:pPr>
      <w:r w:rsidRPr="00BC3788">
        <w:rPr>
          <w:rFonts w:ascii="Garamond" w:hAnsi="Garamond" w:cs="Cordia New"/>
          <w:lang w:val="en-US"/>
        </w:rPr>
        <w:t>Lisa Diependaele obtained a MA in Moral Sciences (Ethics) at Ghent University in 2011, and a LLM in International and European Law at the Vrije Universiteit Brussel (VUB) in 2012. After completing a traineeship at the European Commission (DG Research &amp; Innovation) in 2013, she was appointed as assistant academic staff at the Department of Philosophy and Moral Sciences at Ghent University. Her current research focusses on ethical issues relating to the market protection of pharmaceuticals through patents, data exclusivity and trade secrets, and its intersections with international investment law. Lisa’s broader interests lie in bioethics and global health policy, climate change policy, and political philosophy.</w:t>
      </w:r>
    </w:p>
    <w:p w:rsidR="00806242" w:rsidRPr="00BC3788" w:rsidRDefault="00BC3788" w:rsidP="00BC3788">
      <w:pPr>
        <w:spacing w:before="120" w:after="240" w:line="276" w:lineRule="auto"/>
        <w:jc w:val="both"/>
        <w:rPr>
          <w:rFonts w:ascii="Garamond" w:hAnsi="Garamond" w:cs="Cordia New"/>
          <w:b/>
          <w:lang w:val="en-US"/>
        </w:rPr>
      </w:pPr>
      <w:r w:rsidRPr="00BC3788">
        <w:rPr>
          <w:rFonts w:ascii="Garamond" w:hAnsi="Garamond" w:cs="Cordia New"/>
          <w:b/>
          <w:lang w:val="en-US"/>
        </w:rPr>
        <w:t>Publications:</w:t>
      </w:r>
    </w:p>
    <w:p w:rsidR="00BC3788" w:rsidRPr="00BC3788" w:rsidRDefault="00BC3788" w:rsidP="00BC3788">
      <w:pPr>
        <w:pStyle w:val="NoSpacing"/>
        <w:numPr>
          <w:ilvl w:val="0"/>
          <w:numId w:val="6"/>
        </w:numPr>
        <w:spacing w:before="60" w:after="60" w:line="276" w:lineRule="auto"/>
        <w:ind w:left="709"/>
        <w:jc w:val="both"/>
        <w:rPr>
          <w:rFonts w:ascii="Garamond" w:hAnsi="Garamond" w:cs="Didot"/>
          <w:sz w:val="22"/>
          <w:szCs w:val="22"/>
          <w:lang w:val="en-US"/>
        </w:rPr>
      </w:pPr>
      <w:r w:rsidRPr="00BC3788">
        <w:rPr>
          <w:rFonts w:ascii="Garamond" w:hAnsi="Garamond" w:cs="Didot"/>
          <w:smallCaps/>
          <w:sz w:val="22"/>
          <w:szCs w:val="22"/>
          <w:lang w:val="en-US"/>
        </w:rPr>
        <w:t xml:space="preserve">Diependaele, L., Sterckx, S., </w:t>
      </w:r>
      <w:r w:rsidRPr="00BC3788">
        <w:rPr>
          <w:rFonts w:ascii="Garamond" w:hAnsi="Garamond" w:cs="Didot"/>
          <w:sz w:val="22"/>
          <w:szCs w:val="22"/>
          <w:lang w:val="en-US"/>
        </w:rPr>
        <w:t xml:space="preserve">"Mandating data exclusivity for pharmaceuticals through international agreements: A fair idea?", in Boonin, D. (ed.) </w:t>
      </w:r>
      <w:r w:rsidRPr="00BC3788">
        <w:rPr>
          <w:rFonts w:ascii="Garamond" w:hAnsi="Garamond" w:cs="Didot"/>
          <w:i/>
          <w:sz w:val="22"/>
          <w:szCs w:val="22"/>
          <w:lang w:val="en-US"/>
        </w:rPr>
        <w:t>Handbook of Philosophy and Public Policy</w:t>
      </w:r>
      <w:r w:rsidRPr="00BC3788">
        <w:rPr>
          <w:rFonts w:ascii="Garamond" w:hAnsi="Garamond" w:cs="Didot"/>
          <w:sz w:val="22"/>
          <w:szCs w:val="22"/>
          <w:lang w:val="en-US"/>
        </w:rPr>
        <w:t>, Palgrave Macmillan (in press).</w:t>
      </w:r>
    </w:p>
    <w:p w:rsidR="00BC3788" w:rsidRPr="00BC3788" w:rsidRDefault="00BC3788" w:rsidP="00BC3788">
      <w:pPr>
        <w:pStyle w:val="NoSpacing"/>
        <w:numPr>
          <w:ilvl w:val="0"/>
          <w:numId w:val="6"/>
        </w:numPr>
        <w:spacing w:before="60" w:after="60" w:line="276" w:lineRule="auto"/>
        <w:ind w:left="709"/>
        <w:jc w:val="both"/>
        <w:rPr>
          <w:rFonts w:ascii="Garamond" w:hAnsi="Garamond" w:cs="Didot"/>
          <w:sz w:val="22"/>
          <w:szCs w:val="22"/>
          <w:lang w:val="en-US"/>
        </w:rPr>
      </w:pPr>
      <w:r w:rsidRPr="00BC3788">
        <w:rPr>
          <w:rFonts w:ascii="Garamond" w:hAnsi="Garamond" w:cs="Didot"/>
          <w:smallCaps/>
          <w:sz w:val="22"/>
          <w:szCs w:val="22"/>
          <w:lang w:val="en-US"/>
        </w:rPr>
        <w:t>Diependaele, L., De Ville, F., Sterckx, S.,</w:t>
      </w:r>
      <w:r w:rsidRPr="00BC3788">
        <w:rPr>
          <w:rFonts w:ascii="Garamond" w:hAnsi="Garamond" w:cs="Didot"/>
          <w:sz w:val="22"/>
          <w:szCs w:val="22"/>
          <w:lang w:val="en-US"/>
        </w:rPr>
        <w:t xml:space="preserve"> “Assessing the Normative Legitimacy of Investment Arbitration: the EU’s Investment Court System”, </w:t>
      </w:r>
      <w:r w:rsidRPr="00BC3788">
        <w:rPr>
          <w:rFonts w:ascii="Garamond" w:hAnsi="Garamond" w:cs="Didot"/>
          <w:i/>
          <w:sz w:val="22"/>
          <w:szCs w:val="22"/>
          <w:lang w:val="en-US"/>
        </w:rPr>
        <w:t>New Political Economy</w:t>
      </w:r>
      <w:r w:rsidRPr="00BC3788">
        <w:rPr>
          <w:rFonts w:ascii="Garamond" w:hAnsi="Garamond" w:cs="Didot"/>
          <w:sz w:val="22"/>
          <w:szCs w:val="22"/>
          <w:lang w:val="en-US"/>
        </w:rPr>
        <w:t xml:space="preserve">, 2017, 25p.  </w:t>
      </w:r>
    </w:p>
    <w:p w:rsidR="00BC3788" w:rsidRPr="00BC3788" w:rsidRDefault="00BC3788" w:rsidP="00BC3788">
      <w:pPr>
        <w:pStyle w:val="NoSpacing"/>
        <w:numPr>
          <w:ilvl w:val="0"/>
          <w:numId w:val="6"/>
        </w:numPr>
        <w:spacing w:before="60" w:after="60" w:line="276" w:lineRule="auto"/>
        <w:ind w:left="709"/>
        <w:jc w:val="both"/>
        <w:rPr>
          <w:rFonts w:ascii="Garamond" w:hAnsi="Garamond" w:cs="Didot"/>
          <w:sz w:val="22"/>
          <w:szCs w:val="22"/>
          <w:lang w:val="en-US"/>
        </w:rPr>
      </w:pPr>
      <w:r w:rsidRPr="00BC3788">
        <w:rPr>
          <w:rFonts w:ascii="Garamond" w:hAnsi="Garamond" w:cs="Didot"/>
          <w:smallCaps/>
          <w:sz w:val="22"/>
          <w:szCs w:val="22"/>
          <w:lang w:val="en-US"/>
        </w:rPr>
        <w:t>Diependaele, L., Cockbain, J., Sterckx, S., “</w:t>
      </w:r>
      <w:r w:rsidRPr="00BC3788">
        <w:rPr>
          <w:rFonts w:ascii="Garamond" w:hAnsi="Garamond" w:cs="Didot"/>
          <w:sz w:val="22"/>
          <w:szCs w:val="22"/>
          <w:lang w:val="en-US"/>
        </w:rPr>
        <w:t xml:space="preserve">Eli Lilly v Canada: The uncomfortable liaison between intellectual property and international investment law”, </w:t>
      </w:r>
      <w:r w:rsidRPr="00BC3788">
        <w:rPr>
          <w:rFonts w:ascii="Garamond" w:hAnsi="Garamond" w:cs="Didot"/>
          <w:i/>
          <w:sz w:val="22"/>
          <w:szCs w:val="22"/>
          <w:lang w:val="en-US"/>
        </w:rPr>
        <w:t>Queen Mary Journal of Intellectual Property</w:t>
      </w:r>
      <w:r w:rsidRPr="00BC3788">
        <w:rPr>
          <w:rFonts w:ascii="Garamond" w:hAnsi="Garamond" w:cs="Didot"/>
          <w:sz w:val="22"/>
          <w:szCs w:val="22"/>
          <w:lang w:val="en-US"/>
        </w:rPr>
        <w:t xml:space="preserve"> 7(3), 2017, pp. 283-305.</w:t>
      </w:r>
    </w:p>
    <w:p w:rsidR="00BC3788" w:rsidRPr="00BC3788" w:rsidRDefault="00BC3788" w:rsidP="00BC3788">
      <w:pPr>
        <w:pStyle w:val="NoSpacing"/>
        <w:numPr>
          <w:ilvl w:val="0"/>
          <w:numId w:val="6"/>
        </w:numPr>
        <w:spacing w:before="60" w:after="60" w:line="276" w:lineRule="auto"/>
        <w:ind w:left="709"/>
        <w:jc w:val="both"/>
        <w:rPr>
          <w:rFonts w:ascii="Garamond" w:hAnsi="Garamond" w:cs="Didot"/>
          <w:sz w:val="22"/>
          <w:szCs w:val="22"/>
          <w:lang w:val="en-US"/>
        </w:rPr>
      </w:pPr>
      <w:r w:rsidRPr="00BC3788">
        <w:rPr>
          <w:rFonts w:ascii="Garamond" w:hAnsi="Garamond" w:cs="Didot"/>
          <w:smallCaps/>
          <w:sz w:val="22"/>
          <w:szCs w:val="22"/>
          <w:lang w:val="en-US"/>
        </w:rPr>
        <w:t>Diependaele, L., Cockbain, J., Sterckx, S.,</w:t>
      </w:r>
      <w:r w:rsidRPr="00BC3788">
        <w:rPr>
          <w:rFonts w:ascii="Garamond" w:hAnsi="Garamond" w:cs="Didot"/>
          <w:sz w:val="22"/>
          <w:szCs w:val="22"/>
          <w:lang w:val="en-US"/>
        </w:rPr>
        <w:t xml:space="preserve"> “Raising the Barriers to Access to Medicines in the Developing World – The Relentless Push for Data Exclusivity”, </w:t>
      </w:r>
      <w:r w:rsidRPr="00BC3788">
        <w:rPr>
          <w:rFonts w:ascii="Garamond" w:hAnsi="Garamond" w:cs="Didot"/>
          <w:i/>
          <w:sz w:val="22"/>
          <w:szCs w:val="22"/>
          <w:lang w:val="en-US"/>
        </w:rPr>
        <w:t xml:space="preserve">Developing World Bioethics </w:t>
      </w:r>
      <w:r w:rsidRPr="00BC3788">
        <w:rPr>
          <w:rFonts w:ascii="Garamond" w:hAnsi="Garamond" w:cs="Didot"/>
          <w:sz w:val="22"/>
          <w:szCs w:val="22"/>
          <w:lang w:val="en-US"/>
        </w:rPr>
        <w:t>17(1), 2017, pp. 11-21.</w:t>
      </w:r>
    </w:p>
    <w:p w:rsidR="00BC3788" w:rsidRPr="00BC3788" w:rsidRDefault="00BC3788" w:rsidP="00BC3788">
      <w:pPr>
        <w:pStyle w:val="NoSpacing"/>
        <w:numPr>
          <w:ilvl w:val="0"/>
          <w:numId w:val="6"/>
        </w:numPr>
        <w:spacing w:before="60" w:after="60" w:line="276" w:lineRule="auto"/>
        <w:ind w:left="709"/>
        <w:jc w:val="both"/>
        <w:rPr>
          <w:rFonts w:ascii="Garamond" w:hAnsi="Garamond" w:cs="Didot"/>
          <w:sz w:val="22"/>
          <w:szCs w:val="22"/>
          <w:lang w:val="en-US"/>
        </w:rPr>
      </w:pPr>
      <w:r w:rsidRPr="00BC3788">
        <w:rPr>
          <w:rFonts w:ascii="Garamond" w:hAnsi="Garamond" w:cs="Didot"/>
          <w:smallCaps/>
          <w:sz w:val="22"/>
          <w:szCs w:val="22"/>
          <w:lang w:val="en-US"/>
        </w:rPr>
        <w:t xml:space="preserve">De Smet, A., Dirix, J., Diependaele, L., Sterckx, S., </w:t>
      </w:r>
      <w:r w:rsidRPr="00BC3788">
        <w:rPr>
          <w:rFonts w:ascii="Garamond" w:hAnsi="Garamond" w:cs="Didot"/>
          <w:sz w:val="22"/>
          <w:szCs w:val="22"/>
          <w:lang w:val="en-US"/>
        </w:rPr>
        <w:t xml:space="preserve">“Globalization and responsibility for human rights”, </w:t>
      </w:r>
      <w:r w:rsidRPr="00BC3788">
        <w:rPr>
          <w:rFonts w:ascii="Garamond" w:hAnsi="Garamond" w:cs="Didot"/>
          <w:i/>
          <w:sz w:val="22"/>
          <w:szCs w:val="22"/>
          <w:lang w:val="en-US"/>
        </w:rPr>
        <w:t>Journal of Human Rights</w:t>
      </w:r>
      <w:r w:rsidRPr="00BC3788">
        <w:rPr>
          <w:rFonts w:ascii="Garamond" w:hAnsi="Garamond" w:cs="Didot"/>
          <w:sz w:val="22"/>
          <w:szCs w:val="22"/>
          <w:lang w:val="en-US"/>
        </w:rPr>
        <w:t xml:space="preserve"> 14(3), 2016, pp. 419-438. </w:t>
      </w:r>
    </w:p>
    <w:p w:rsidR="00BC3788" w:rsidRPr="00BC3788" w:rsidRDefault="00BC3788" w:rsidP="00BC3788">
      <w:pPr>
        <w:pStyle w:val="NoSpacing"/>
        <w:numPr>
          <w:ilvl w:val="0"/>
          <w:numId w:val="6"/>
        </w:numPr>
        <w:spacing w:before="60" w:after="60" w:line="276" w:lineRule="auto"/>
        <w:ind w:left="709"/>
        <w:jc w:val="both"/>
        <w:rPr>
          <w:rFonts w:ascii="Garamond" w:hAnsi="Garamond" w:cs="Didot"/>
          <w:sz w:val="22"/>
          <w:szCs w:val="22"/>
          <w:lang w:val="en-US"/>
        </w:rPr>
      </w:pPr>
      <w:r w:rsidRPr="00BC3788">
        <w:rPr>
          <w:rFonts w:ascii="Garamond" w:hAnsi="Garamond" w:cs="Didot"/>
          <w:smallCaps/>
          <w:sz w:val="22"/>
          <w:szCs w:val="22"/>
          <w:lang w:val="en-US"/>
        </w:rPr>
        <w:t>Peeters, W., De Smet, A., Diependaele, L., Sterckx, S</w:t>
      </w:r>
      <w:r w:rsidRPr="00BC3788">
        <w:rPr>
          <w:rFonts w:ascii="Garamond" w:hAnsi="Garamond" w:cs="Didot"/>
          <w:sz w:val="22"/>
          <w:szCs w:val="22"/>
          <w:lang w:val="en-US"/>
        </w:rPr>
        <w:t xml:space="preserve">., Climate change and individual responsibility: agency, moral disengagement and the motivational gap, Palgrave Macmillan, 2015, 150p. </w:t>
      </w:r>
    </w:p>
    <w:p w:rsidR="00BC3788" w:rsidRPr="00806242" w:rsidRDefault="00BC3788" w:rsidP="00806242">
      <w:pPr>
        <w:spacing w:line="276" w:lineRule="auto"/>
        <w:rPr>
          <w:rFonts w:ascii="Cordia New" w:hAnsi="Cordia New" w:cs="Cordia New"/>
          <w:sz w:val="24"/>
          <w:szCs w:val="24"/>
          <w:lang w:val="en-US"/>
        </w:rPr>
      </w:pPr>
    </w:p>
    <w:sectPr w:rsidR="00BC3788" w:rsidRPr="008062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Didot">
    <w:panose1 w:val="02000503000000020003"/>
    <w:charset w:val="B1"/>
    <w:family w:val="auto"/>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83AD8"/>
    <w:multiLevelType w:val="hybridMultilevel"/>
    <w:tmpl w:val="1A267B8C"/>
    <w:lvl w:ilvl="0" w:tplc="B720C32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25944"/>
    <w:multiLevelType w:val="hybridMultilevel"/>
    <w:tmpl w:val="BB903A9E"/>
    <w:lvl w:ilvl="0" w:tplc="568E0BA4">
      <w:numFmt w:val="bullet"/>
      <w:lvlText w:val="-"/>
      <w:lvlJc w:val="left"/>
      <w:pPr>
        <w:ind w:left="720" w:hanging="360"/>
      </w:pPr>
      <w:rPr>
        <w:rFonts w:ascii="Times New Roman" w:eastAsiaTheme="minorHAnsi" w:hAnsi="Times New Roman" w:cs="Times New Roman"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463C0"/>
    <w:multiLevelType w:val="hybridMultilevel"/>
    <w:tmpl w:val="FDD46762"/>
    <w:lvl w:ilvl="0" w:tplc="B4BAC25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77F3957"/>
    <w:multiLevelType w:val="hybridMultilevel"/>
    <w:tmpl w:val="139EF30E"/>
    <w:lvl w:ilvl="0" w:tplc="1664835E">
      <w:start w:val="1"/>
      <w:numFmt w:val="bullet"/>
      <w:lvlText w:val="-"/>
      <w:lvlJc w:val="left"/>
      <w:pPr>
        <w:ind w:left="720" w:hanging="360"/>
      </w:pPr>
      <w:rPr>
        <w:rFonts w:ascii="Calibri" w:eastAsiaTheme="minorHAnsi" w:hAnsi="Calibri" w:cs="Calibri"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E757E"/>
    <w:multiLevelType w:val="hybridMultilevel"/>
    <w:tmpl w:val="D2ACB816"/>
    <w:lvl w:ilvl="0" w:tplc="E49848C2">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B51F40"/>
    <w:multiLevelType w:val="hybridMultilevel"/>
    <w:tmpl w:val="B5C60DF6"/>
    <w:lvl w:ilvl="0" w:tplc="568E0BA4">
      <w:numFmt w:val="bullet"/>
      <w:lvlText w:val="-"/>
      <w:lvlJc w:val="left"/>
      <w:pPr>
        <w:ind w:left="720" w:hanging="360"/>
      </w:pPr>
      <w:rPr>
        <w:rFonts w:ascii="Times New Roman" w:eastAsiaTheme="minorHAnsi" w:hAnsi="Times New Roman" w:cs="Times New Roman" w:hint="default"/>
      </w:rPr>
    </w:lvl>
    <w:lvl w:ilvl="1" w:tplc="B720C326">
      <w:numFmt w:val="bullet"/>
      <w:lvlText w:val=""/>
      <w:lvlJc w:val="left"/>
      <w:pPr>
        <w:ind w:left="1440" w:hanging="360"/>
      </w:pPr>
      <w:rPr>
        <w:rFonts w:ascii="Wingdings" w:eastAsiaTheme="minorHAnsi" w:hAnsi="Wingdings"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E2"/>
    <w:rsid w:val="00123981"/>
    <w:rsid w:val="00127ECA"/>
    <w:rsid w:val="00132819"/>
    <w:rsid w:val="001520B7"/>
    <w:rsid w:val="001806DC"/>
    <w:rsid w:val="002C1FE2"/>
    <w:rsid w:val="002E10B8"/>
    <w:rsid w:val="00385456"/>
    <w:rsid w:val="003A11A3"/>
    <w:rsid w:val="00405905"/>
    <w:rsid w:val="00497BCB"/>
    <w:rsid w:val="0054764A"/>
    <w:rsid w:val="005C2A4D"/>
    <w:rsid w:val="0060586C"/>
    <w:rsid w:val="00630CED"/>
    <w:rsid w:val="0073022E"/>
    <w:rsid w:val="00806242"/>
    <w:rsid w:val="00916EA0"/>
    <w:rsid w:val="00A400CB"/>
    <w:rsid w:val="00A71042"/>
    <w:rsid w:val="00BC3788"/>
    <w:rsid w:val="00DF6B0E"/>
    <w:rsid w:val="00F0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6E6FB-46B0-4114-847E-796F7686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2E"/>
    <w:pPr>
      <w:ind w:left="720"/>
      <w:contextualSpacing/>
    </w:pPr>
  </w:style>
  <w:style w:type="character" w:styleId="Hyperlink">
    <w:name w:val="Hyperlink"/>
    <w:basedOn w:val="DefaultParagraphFont"/>
    <w:uiPriority w:val="99"/>
    <w:unhideWhenUsed/>
    <w:rsid w:val="00405905"/>
    <w:rPr>
      <w:color w:val="0563C1" w:themeColor="hyperlink"/>
      <w:u w:val="single"/>
    </w:rPr>
  </w:style>
  <w:style w:type="character" w:styleId="UnresolvedMention">
    <w:name w:val="Unresolved Mention"/>
    <w:basedOn w:val="DefaultParagraphFont"/>
    <w:uiPriority w:val="99"/>
    <w:semiHidden/>
    <w:unhideWhenUsed/>
    <w:rsid w:val="00405905"/>
    <w:rPr>
      <w:color w:val="808080"/>
      <w:shd w:val="clear" w:color="auto" w:fill="E6E6E6"/>
    </w:rPr>
  </w:style>
  <w:style w:type="character" w:styleId="FollowedHyperlink">
    <w:name w:val="FollowedHyperlink"/>
    <w:basedOn w:val="DefaultParagraphFont"/>
    <w:uiPriority w:val="99"/>
    <w:semiHidden/>
    <w:unhideWhenUsed/>
    <w:rsid w:val="00A400CB"/>
    <w:rPr>
      <w:color w:val="954F72" w:themeColor="followedHyperlink"/>
      <w:u w:val="single"/>
    </w:rPr>
  </w:style>
  <w:style w:type="paragraph" w:styleId="NoSpacing">
    <w:name w:val="No Spacing"/>
    <w:uiPriority w:val="1"/>
    <w:qFormat/>
    <w:rsid w:val="00BC3788"/>
    <w:pPr>
      <w:spacing w:after="0" w:line="240" w:lineRule="auto"/>
    </w:pPr>
    <w:rPr>
      <w:rFonts w:eastAsiaTheme="minorEastAsia"/>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069430">
      <w:bodyDiv w:val="1"/>
      <w:marLeft w:val="0"/>
      <w:marRight w:val="0"/>
      <w:marTop w:val="0"/>
      <w:marBottom w:val="0"/>
      <w:divBdr>
        <w:top w:val="none" w:sz="0" w:space="0" w:color="auto"/>
        <w:left w:val="none" w:sz="0" w:space="0" w:color="auto"/>
        <w:bottom w:val="none" w:sz="0" w:space="0" w:color="auto"/>
        <w:right w:val="none" w:sz="0" w:space="0" w:color="auto"/>
      </w:divBdr>
    </w:div>
    <w:div w:id="1469282585">
      <w:bodyDiv w:val="1"/>
      <w:marLeft w:val="0"/>
      <w:marRight w:val="0"/>
      <w:marTop w:val="0"/>
      <w:marBottom w:val="0"/>
      <w:divBdr>
        <w:top w:val="none" w:sz="0" w:space="0" w:color="auto"/>
        <w:left w:val="none" w:sz="0" w:space="0" w:color="auto"/>
        <w:bottom w:val="none" w:sz="0" w:space="0" w:color="auto"/>
        <w:right w:val="none" w:sz="0" w:space="0" w:color="auto"/>
      </w:divBdr>
    </w:div>
    <w:div w:id="198693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tr.gov/sites/default/files/301/2017%20Special%20301%20Report%20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Diependaele</dc:creator>
  <cp:keywords/>
  <dc:description/>
  <cp:lastModifiedBy>Microsoft Office User</cp:lastModifiedBy>
  <cp:revision>2</cp:revision>
  <dcterms:created xsi:type="dcterms:W3CDTF">2018-04-22T22:52:00Z</dcterms:created>
  <dcterms:modified xsi:type="dcterms:W3CDTF">2018-04-22T22:52:00Z</dcterms:modified>
</cp:coreProperties>
</file>